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B64" w:rsidRDefault="0071799E" w:rsidP="006301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pict w14:anchorId="2A72428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7728;visibility:hidden">
            <o:lock v:ext="edit" selection="t"/>
          </v:shape>
        </w:pict>
      </w:r>
    </w:p>
    <w:tbl>
      <w:tblPr>
        <w:tblStyle w:val="a"/>
        <w:tblW w:w="134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44"/>
        <w:gridCol w:w="3436"/>
        <w:gridCol w:w="4320"/>
        <w:gridCol w:w="2610"/>
      </w:tblGrid>
      <w:tr w:rsidR="006543E7" w:rsidTr="0063015B">
        <w:tc>
          <w:tcPr>
            <w:tcW w:w="3044" w:type="dxa"/>
          </w:tcPr>
          <w:p w:rsidR="006543E7" w:rsidRPr="00701D04" w:rsidRDefault="005903FD" w:rsidP="0028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4472C4" w:themeColor="accent1"/>
                <w:sz w:val="24"/>
                <w:szCs w:val="24"/>
              </w:rPr>
            </w:pPr>
            <w:r>
              <w:t xml:space="preserve">         </w:t>
            </w:r>
            <w:bookmarkStart w:id="0" w:name="_heading=h.gjdgxs" w:colFirst="0" w:colLast="0"/>
            <w:bookmarkStart w:id="1" w:name="_heading=h.30j0zll" w:colFirst="0" w:colLast="0"/>
            <w:bookmarkEnd w:id="0"/>
            <w:bookmarkEnd w:id="1"/>
            <w:r w:rsidR="006543E7" w:rsidRPr="00701D04">
              <w:rPr>
                <w:b/>
                <w:color w:val="4472C4" w:themeColor="accent1"/>
                <w:sz w:val="24"/>
                <w:szCs w:val="24"/>
              </w:rPr>
              <w:t>OBJECTIVE</w:t>
            </w:r>
          </w:p>
        </w:tc>
        <w:tc>
          <w:tcPr>
            <w:tcW w:w="3436" w:type="dxa"/>
          </w:tcPr>
          <w:p w:rsidR="006543E7" w:rsidRPr="00701D04" w:rsidRDefault="0065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4472C4" w:themeColor="accent1"/>
                <w:sz w:val="24"/>
                <w:szCs w:val="24"/>
              </w:rPr>
            </w:pPr>
            <w:r w:rsidRPr="00701D04">
              <w:rPr>
                <w:b/>
                <w:color w:val="4472C4" w:themeColor="accent1"/>
                <w:sz w:val="24"/>
                <w:szCs w:val="24"/>
              </w:rPr>
              <w:t>Plan of Action</w:t>
            </w:r>
          </w:p>
        </w:tc>
        <w:tc>
          <w:tcPr>
            <w:tcW w:w="4320" w:type="dxa"/>
          </w:tcPr>
          <w:p w:rsidR="006543E7" w:rsidRPr="00701D04" w:rsidRDefault="0065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4472C4" w:themeColor="accent1"/>
                <w:sz w:val="24"/>
                <w:szCs w:val="24"/>
              </w:rPr>
            </w:pPr>
            <w:r w:rsidRPr="00701D04">
              <w:rPr>
                <w:b/>
                <w:color w:val="4472C4" w:themeColor="accent1"/>
                <w:sz w:val="24"/>
                <w:szCs w:val="24"/>
              </w:rPr>
              <w:t>Next Steps</w:t>
            </w:r>
          </w:p>
        </w:tc>
        <w:tc>
          <w:tcPr>
            <w:tcW w:w="2610" w:type="dxa"/>
          </w:tcPr>
          <w:p w:rsidR="006543E7" w:rsidRPr="00701D04" w:rsidRDefault="0065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4472C4" w:themeColor="accent1"/>
                <w:sz w:val="24"/>
                <w:szCs w:val="24"/>
              </w:rPr>
            </w:pPr>
            <w:r w:rsidRPr="00701D04">
              <w:rPr>
                <w:b/>
                <w:color w:val="4472C4" w:themeColor="accent1"/>
                <w:sz w:val="24"/>
                <w:szCs w:val="24"/>
              </w:rPr>
              <w:t>Responsible Person(s)</w:t>
            </w:r>
          </w:p>
        </w:tc>
      </w:tr>
      <w:tr w:rsidR="006543E7" w:rsidTr="0063015B">
        <w:trPr>
          <w:trHeight w:val="4274"/>
        </w:trPr>
        <w:tc>
          <w:tcPr>
            <w:tcW w:w="3044" w:type="dxa"/>
          </w:tcPr>
          <w:p w:rsidR="006543E7" w:rsidRPr="00701D04" w:rsidRDefault="001F56DC">
            <w:pPr>
              <w:rPr>
                <w:b/>
              </w:rPr>
            </w:pPr>
            <w:r>
              <w:rPr>
                <w:b/>
              </w:rPr>
              <w:t xml:space="preserve">Address </w:t>
            </w:r>
            <w:r w:rsidR="006543E7" w:rsidRPr="00701D04">
              <w:rPr>
                <w:b/>
              </w:rPr>
              <w:t>nursing faculty   diversity</w:t>
            </w:r>
            <w:r w:rsidR="005154D5" w:rsidRPr="00701D04">
              <w:rPr>
                <w:b/>
              </w:rPr>
              <w:t xml:space="preserve"> by promoting and encouraging clinical nurses from underrepresented groups to consider teaching as a career path and encouraging faculty to serve as mentors for nurses who might be interested in teaching.</w:t>
            </w:r>
          </w:p>
          <w:p w:rsidR="006543E7" w:rsidRDefault="006543E7"/>
          <w:p w:rsidR="0063015B" w:rsidRPr="00701D04" w:rsidRDefault="0063015B"/>
          <w:p w:rsidR="006543E7" w:rsidRPr="00701D04" w:rsidRDefault="006543E7">
            <w:pPr>
              <w:rPr>
                <w:b/>
              </w:rPr>
            </w:pPr>
            <w:r w:rsidRPr="00701D04">
              <w:rPr>
                <w:b/>
              </w:rPr>
              <w:t>Inc</w:t>
            </w:r>
            <w:r w:rsidR="009024CA" w:rsidRPr="00701D04">
              <w:rPr>
                <w:b/>
              </w:rPr>
              <w:t xml:space="preserve">rease nursing student diversity </w:t>
            </w:r>
            <w:r w:rsidR="001F56DC">
              <w:rPr>
                <w:b/>
              </w:rPr>
              <w:t>by</w:t>
            </w:r>
            <w:r w:rsidR="009024CA" w:rsidRPr="00701D04">
              <w:rPr>
                <w:b/>
              </w:rPr>
              <w:t xml:space="preserve"> provid</w:t>
            </w:r>
            <w:r w:rsidR="001F56DC">
              <w:rPr>
                <w:b/>
              </w:rPr>
              <w:t>ing</w:t>
            </w:r>
            <w:r w:rsidR="009024CA" w:rsidRPr="00701D04">
              <w:rPr>
                <w:b/>
              </w:rPr>
              <w:t xml:space="preserve"> support to minority students to improve</w:t>
            </w:r>
            <w:r w:rsidRPr="00701D04">
              <w:rPr>
                <w:b/>
              </w:rPr>
              <w:t xml:space="preserve"> student retention and successful academic progress</w:t>
            </w:r>
            <w:r w:rsidR="001F56DC">
              <w:rPr>
                <w:b/>
              </w:rPr>
              <w:t xml:space="preserve"> across the continuum from admission to graduation to licensure.</w:t>
            </w:r>
          </w:p>
          <w:p w:rsidR="006543E7" w:rsidRPr="00701D04" w:rsidRDefault="006543E7">
            <w:pPr>
              <w:rPr>
                <w:b/>
              </w:rPr>
            </w:pPr>
          </w:p>
          <w:p w:rsidR="006543E7" w:rsidRDefault="0065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color w:val="000000"/>
                <w:sz w:val="24"/>
                <w:szCs w:val="24"/>
              </w:rPr>
            </w:pPr>
          </w:p>
          <w:p w:rsidR="006543E7" w:rsidRDefault="006543E7"/>
          <w:p w:rsidR="006543E7" w:rsidRDefault="0065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:rsidR="006543E7" w:rsidRDefault="0065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:rsidR="006543E7" w:rsidRDefault="0065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color w:val="000000"/>
              </w:rPr>
            </w:pPr>
          </w:p>
          <w:p w:rsidR="006543E7" w:rsidRDefault="006543E7"/>
          <w:p w:rsidR="006543E7" w:rsidRDefault="006543E7"/>
        </w:tc>
        <w:tc>
          <w:tcPr>
            <w:tcW w:w="3436" w:type="dxa"/>
          </w:tcPr>
          <w:p w:rsidR="006543E7" w:rsidRPr="009024CA" w:rsidRDefault="006543E7" w:rsidP="00701D0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Create tools to promote nursing education as a career path</w:t>
            </w:r>
            <w:r w:rsidR="001F56DC">
              <w:rPr>
                <w:color w:val="000000"/>
              </w:rPr>
              <w:t>.</w:t>
            </w:r>
          </w:p>
          <w:p w:rsidR="006543E7" w:rsidRPr="001F56DC" w:rsidRDefault="006543E7" w:rsidP="00701D0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Expand use of ACEMAPP Mentoring program to help connect nurses interested in teaching with opportunities to learn from others.</w:t>
            </w:r>
          </w:p>
          <w:p w:rsidR="001F56DC" w:rsidRDefault="001F56DC" w:rsidP="001F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:rsidR="001F56DC" w:rsidRPr="0044788F" w:rsidRDefault="001F56DC" w:rsidP="001F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</w:p>
          <w:p w:rsidR="009024CA" w:rsidRPr="009032AA" w:rsidRDefault="006543E7" w:rsidP="009032AA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9032AA">
              <w:rPr>
                <w:color w:val="000000"/>
              </w:rPr>
              <w:t>Evaluate use and effectiveness of holistic admissions policies.</w:t>
            </w:r>
          </w:p>
          <w:p w:rsidR="009024CA" w:rsidRDefault="009024CA" w:rsidP="009024C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</w:rPr>
            </w:pPr>
          </w:p>
          <w:p w:rsidR="009024CA" w:rsidRDefault="009024CA" w:rsidP="009024C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</w:rPr>
            </w:pPr>
          </w:p>
          <w:p w:rsidR="009024CA" w:rsidRDefault="009024CA" w:rsidP="009024C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</w:rPr>
            </w:pPr>
          </w:p>
          <w:p w:rsidR="009024CA" w:rsidRDefault="009024CA" w:rsidP="009024C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</w:rPr>
            </w:pPr>
          </w:p>
          <w:p w:rsidR="009024CA" w:rsidRDefault="009024CA" w:rsidP="009024C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</w:rPr>
            </w:pPr>
          </w:p>
          <w:p w:rsidR="009024CA" w:rsidRDefault="009024CA" w:rsidP="009024C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</w:rPr>
            </w:pPr>
          </w:p>
          <w:p w:rsidR="009024CA" w:rsidRDefault="009024CA" w:rsidP="009024C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</w:rPr>
            </w:pPr>
          </w:p>
          <w:p w:rsidR="009024CA" w:rsidRDefault="009024CA" w:rsidP="009024C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</w:rPr>
            </w:pPr>
          </w:p>
          <w:p w:rsidR="009024CA" w:rsidRDefault="009024CA" w:rsidP="009024C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</w:rPr>
            </w:pPr>
          </w:p>
          <w:p w:rsidR="00655A3D" w:rsidRDefault="00655A3D" w:rsidP="00655A3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:rsidR="00655A3D" w:rsidRDefault="00655A3D" w:rsidP="00655A3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:rsidR="00655A3D" w:rsidRDefault="00655A3D" w:rsidP="00655A3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:rsidR="00655A3D" w:rsidRDefault="00655A3D" w:rsidP="00655A3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:rsidR="00655A3D" w:rsidRDefault="00655A3D" w:rsidP="00655A3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:rsidR="00655A3D" w:rsidRDefault="00655A3D" w:rsidP="00655A3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:rsidR="00655A3D" w:rsidRDefault="00655A3D" w:rsidP="00655A3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color w:val="000000"/>
              </w:rPr>
            </w:pPr>
          </w:p>
          <w:p w:rsidR="0063015B" w:rsidRDefault="0063015B" w:rsidP="0063015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:rsidR="006543E7" w:rsidRDefault="009024CA" w:rsidP="009032AA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024CA">
              <w:rPr>
                <w:color w:val="000000"/>
              </w:rPr>
              <w:t>C</w:t>
            </w:r>
            <w:r>
              <w:rPr>
                <w:color w:val="000000"/>
              </w:rPr>
              <w:t>reate resources to assist nursing programs in supporting diverse nursing students.</w:t>
            </w:r>
          </w:p>
          <w:p w:rsidR="009024CA" w:rsidRDefault="009024CA" w:rsidP="009024CA">
            <w:pPr>
              <w:pStyle w:val="ListParagraph"/>
              <w:rPr>
                <w:color w:val="000000"/>
              </w:rPr>
            </w:pPr>
          </w:p>
          <w:p w:rsidR="00DD02A7" w:rsidRDefault="00DD02A7" w:rsidP="009024CA">
            <w:pPr>
              <w:pStyle w:val="ListParagraph"/>
              <w:rPr>
                <w:color w:val="000000"/>
              </w:rPr>
            </w:pPr>
          </w:p>
          <w:p w:rsidR="00DD02A7" w:rsidRDefault="00DD02A7" w:rsidP="0063015B">
            <w:pPr>
              <w:pStyle w:val="ListParagraph"/>
              <w:spacing w:line="360" w:lineRule="auto"/>
              <w:rPr>
                <w:color w:val="000000"/>
              </w:rPr>
            </w:pPr>
          </w:p>
          <w:p w:rsidR="006543E7" w:rsidRPr="009E3325" w:rsidRDefault="008A6629" w:rsidP="009032AA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E3325">
              <w:rPr>
                <w:color w:val="000000"/>
              </w:rPr>
              <w:t>Evaluate NCLEX pass rates to understand how underrepresented students perform on the exam.</w:t>
            </w:r>
          </w:p>
        </w:tc>
        <w:tc>
          <w:tcPr>
            <w:tcW w:w="4320" w:type="dxa"/>
          </w:tcPr>
          <w:p w:rsidR="006543E7" w:rsidRDefault="006543E7" w:rsidP="00701D04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20958">
              <w:rPr>
                <w:color w:val="000000"/>
              </w:rPr>
              <w:lastRenderedPageBreak/>
              <w:t xml:space="preserve">Develop a series of videos on different </w:t>
            </w:r>
            <w:r w:rsidR="001F56DC">
              <w:rPr>
                <w:color w:val="000000"/>
              </w:rPr>
              <w:t xml:space="preserve">nursing </w:t>
            </w:r>
            <w:r w:rsidRPr="00420958">
              <w:rPr>
                <w:color w:val="000000"/>
              </w:rPr>
              <w:t>educati</w:t>
            </w:r>
            <w:r w:rsidR="001F56DC">
              <w:rPr>
                <w:color w:val="000000"/>
              </w:rPr>
              <w:t>onal roles featuring nurses from underrepresented groups.</w:t>
            </w:r>
          </w:p>
          <w:p w:rsidR="006543E7" w:rsidRDefault="006543E7" w:rsidP="00701D0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Create a faculty mentoring toolkit to be available on the MCN website.</w:t>
            </w:r>
          </w:p>
          <w:p w:rsidR="006543E7" w:rsidRDefault="006543E7" w:rsidP="00701D0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Develop resources on the role of teaching for use in the ACEMAPP Mentoring program. </w:t>
            </w:r>
          </w:p>
          <w:p w:rsidR="006543E7" w:rsidRDefault="006543E7">
            <w:pPr>
              <w:rPr>
                <w:color w:val="000000"/>
              </w:rPr>
            </w:pPr>
          </w:p>
          <w:p w:rsidR="006543E7" w:rsidRDefault="006543E7" w:rsidP="0063015B">
            <w:pPr>
              <w:spacing w:line="360" w:lineRule="auto"/>
              <w:rPr>
                <w:color w:val="000000"/>
              </w:rPr>
            </w:pPr>
          </w:p>
          <w:p w:rsidR="00A61499" w:rsidRDefault="006543E7" w:rsidP="00A6149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 w:rsidRPr="00A61499">
              <w:rPr>
                <w:color w:val="000000"/>
              </w:rPr>
              <w:t>Contact AACN to determine</w:t>
            </w:r>
            <w:r w:rsidR="00A61499">
              <w:rPr>
                <w:color w:val="000000"/>
              </w:rPr>
              <w:t xml:space="preserve"> (1) the survey process they use to collect data, (2)</w:t>
            </w:r>
            <w:r w:rsidRPr="00A61499">
              <w:rPr>
                <w:color w:val="000000"/>
              </w:rPr>
              <w:t xml:space="preserve"> what data they have on the use of holistic admissions policies</w:t>
            </w:r>
            <w:r w:rsidR="00A61499">
              <w:rPr>
                <w:color w:val="000000"/>
              </w:rPr>
              <w:t>, (3) can they break out Michigan data, and (4) the cost of purchasing the data.</w:t>
            </w:r>
          </w:p>
          <w:p w:rsidR="0063015B" w:rsidRDefault="0063015B" w:rsidP="00630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color w:val="000000"/>
              </w:rPr>
            </w:pPr>
          </w:p>
          <w:p w:rsidR="00A61499" w:rsidRDefault="00A61499" w:rsidP="00A6149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Determine feasibility of purchasing the AACN data.</w:t>
            </w:r>
          </w:p>
          <w:p w:rsidR="0063015B" w:rsidRDefault="0063015B" w:rsidP="00630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color w:val="000000"/>
              </w:rPr>
            </w:pPr>
          </w:p>
          <w:p w:rsidR="0063015B" w:rsidRDefault="0063015B" w:rsidP="00630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color w:val="000000"/>
              </w:rPr>
            </w:pPr>
          </w:p>
          <w:p w:rsidR="009024CA" w:rsidRDefault="009024CA" w:rsidP="00A6149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 w:rsidRPr="00A61499">
              <w:rPr>
                <w:color w:val="000000"/>
              </w:rPr>
              <w:t xml:space="preserve">Identify gaps in data </w:t>
            </w:r>
            <w:r w:rsidR="00DD02A7" w:rsidRPr="00A61499">
              <w:rPr>
                <w:color w:val="000000"/>
              </w:rPr>
              <w:t>and c</w:t>
            </w:r>
            <w:r w:rsidRPr="00A61499">
              <w:rPr>
                <w:color w:val="000000"/>
              </w:rPr>
              <w:t>onduct a survey of nursing deans/programs directors to gather</w:t>
            </w:r>
            <w:r w:rsidR="00DD02A7" w:rsidRPr="00A61499">
              <w:rPr>
                <w:color w:val="000000"/>
              </w:rPr>
              <w:t xml:space="preserve"> additional information</w:t>
            </w:r>
            <w:r w:rsidRPr="00A61499">
              <w:rPr>
                <w:color w:val="000000"/>
              </w:rPr>
              <w:t xml:space="preserve"> on the use and impact of holistic admission policies.</w:t>
            </w:r>
          </w:p>
          <w:p w:rsidR="00655A3D" w:rsidRDefault="00655A3D" w:rsidP="0065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:rsidR="00655A3D" w:rsidRDefault="00655A3D" w:rsidP="0065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:rsidR="00DD02A7" w:rsidRDefault="008A6629" w:rsidP="00701D0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Create</w:t>
            </w:r>
            <w:r w:rsidR="00DD02A7">
              <w:rPr>
                <w:color w:val="000000"/>
              </w:rPr>
              <w:t xml:space="preserve"> a “best practices” toolkit </w:t>
            </w:r>
            <w:r w:rsidR="00655A3D">
              <w:rPr>
                <w:color w:val="000000"/>
              </w:rPr>
              <w:t>on student retention and success strategies.</w:t>
            </w:r>
          </w:p>
          <w:p w:rsidR="008A6629" w:rsidRDefault="008A6629" w:rsidP="008A6629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Develop plan to disseminate toolkit and resources to nursing programs and clinical teaching partners.</w:t>
            </w:r>
          </w:p>
          <w:p w:rsidR="008A6629" w:rsidRPr="008A6629" w:rsidRDefault="008A6629" w:rsidP="008A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color w:val="000000"/>
              </w:rPr>
            </w:pPr>
          </w:p>
          <w:p w:rsidR="00831007" w:rsidRDefault="00726151" w:rsidP="008A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="008A6629" w:rsidRPr="008A6629">
              <w:rPr>
                <w:color w:val="000000"/>
              </w:rPr>
              <w:t>.</w:t>
            </w:r>
            <w:r w:rsidR="008A6629">
              <w:rPr>
                <w:color w:val="000000"/>
              </w:rPr>
              <w:t xml:space="preserve">    Contact NCSBN to determine if it</w:t>
            </w:r>
            <w:r w:rsidR="00831007">
              <w:rPr>
                <w:color w:val="000000"/>
              </w:rPr>
              <w:t xml:space="preserve"> is</w:t>
            </w:r>
          </w:p>
          <w:p w:rsidR="00831007" w:rsidRDefault="00831007" w:rsidP="008A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possible to get demographic data for</w:t>
            </w:r>
          </w:p>
          <w:p w:rsidR="00831007" w:rsidRDefault="00831007" w:rsidP="00831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     NCLEX exam pass rates,  </w:t>
            </w:r>
          </w:p>
          <w:p w:rsidR="008A6629" w:rsidRDefault="00831007" w:rsidP="00831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proofErr w:type="gramStart"/>
            <w:r>
              <w:rPr>
                <w:color w:val="000000"/>
              </w:rPr>
              <w:t>specifically</w:t>
            </w:r>
            <w:proofErr w:type="gramEnd"/>
            <w:r>
              <w:rPr>
                <w:color w:val="000000"/>
              </w:rPr>
              <w:t xml:space="preserve"> race/ethnicity</w:t>
            </w:r>
            <w:r w:rsidR="009E3325">
              <w:rPr>
                <w:color w:val="000000"/>
              </w:rPr>
              <w:t xml:space="preserve"> data.</w:t>
            </w:r>
            <w:r>
              <w:rPr>
                <w:color w:val="000000"/>
              </w:rPr>
              <w:t>.</w:t>
            </w:r>
          </w:p>
          <w:p w:rsidR="00831007" w:rsidRPr="008A6629" w:rsidRDefault="00831007" w:rsidP="008A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DD02A7" w:rsidRDefault="00DD02A7" w:rsidP="00DD0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color w:val="000000"/>
              </w:rPr>
            </w:pPr>
          </w:p>
          <w:p w:rsidR="006543E7" w:rsidRDefault="006543E7" w:rsidP="00844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color w:val="000000"/>
              </w:rPr>
            </w:pPr>
          </w:p>
          <w:p w:rsidR="006543E7" w:rsidRDefault="006543E7" w:rsidP="00844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color w:val="000000"/>
              </w:rPr>
            </w:pPr>
          </w:p>
          <w:p w:rsidR="006543E7" w:rsidRDefault="006543E7" w:rsidP="00DD0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color w:val="000000"/>
              </w:rPr>
            </w:pPr>
          </w:p>
        </w:tc>
        <w:tc>
          <w:tcPr>
            <w:tcW w:w="2610" w:type="dxa"/>
          </w:tcPr>
          <w:p w:rsidR="006543E7" w:rsidRDefault="0065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Kechi Iheduru-Anderson</w:t>
            </w:r>
          </w:p>
          <w:p w:rsidR="006543E7" w:rsidRPr="002A77F3" w:rsidRDefault="0065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 w:themeColor="text1"/>
              </w:rPr>
            </w:pPr>
            <w:r w:rsidRPr="002A77F3">
              <w:rPr>
                <w:color w:val="000000" w:themeColor="text1"/>
              </w:rPr>
              <w:t>Karen Brown-</w:t>
            </w:r>
            <w:proofErr w:type="spellStart"/>
            <w:r w:rsidRPr="002A77F3">
              <w:rPr>
                <w:color w:val="000000" w:themeColor="text1"/>
              </w:rPr>
              <w:t>Fackler</w:t>
            </w:r>
            <w:proofErr w:type="spellEnd"/>
          </w:p>
          <w:p w:rsidR="006543E7" w:rsidRDefault="006543E7" w:rsidP="0028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Carolyn </w:t>
            </w:r>
            <w:proofErr w:type="spellStart"/>
            <w:r>
              <w:rPr>
                <w:color w:val="000000"/>
              </w:rPr>
              <w:t>Tieppo</w:t>
            </w:r>
            <w:proofErr w:type="spellEnd"/>
          </w:p>
          <w:p w:rsidR="006543E7" w:rsidRDefault="006543E7" w:rsidP="0028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Naomi Ervin</w:t>
            </w:r>
          </w:p>
          <w:p w:rsidR="006543E7" w:rsidRDefault="006543E7" w:rsidP="0028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Melanie Brim</w:t>
            </w:r>
          </w:p>
          <w:p w:rsidR="006543E7" w:rsidRDefault="0065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:rsidR="006543E7" w:rsidRDefault="0065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:rsidR="006543E7" w:rsidRDefault="0065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:rsidR="006543E7" w:rsidRDefault="006543E7" w:rsidP="00630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  <w:p w:rsidR="00C323DD" w:rsidRDefault="00C32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:rsidR="006543E7" w:rsidRDefault="0065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bookmarkStart w:id="2" w:name="_GoBack"/>
            <w:bookmarkEnd w:id="2"/>
            <w:r>
              <w:rPr>
                <w:color w:val="000000"/>
              </w:rPr>
              <w:t>Melanie Brim</w:t>
            </w:r>
          </w:p>
          <w:p w:rsidR="006543E7" w:rsidRDefault="0065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Anne Young </w:t>
            </w:r>
          </w:p>
          <w:p w:rsidR="006543E7" w:rsidRDefault="00A61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Remy Bruder</w:t>
            </w:r>
          </w:p>
          <w:p w:rsidR="006543E7" w:rsidRDefault="0065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:rsidR="006543E7" w:rsidRDefault="0065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:rsidR="006543E7" w:rsidRDefault="0065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</w:p>
          <w:p w:rsidR="0063015B" w:rsidRDefault="00630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:rsidR="006543E7" w:rsidRDefault="00630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="00A61499">
              <w:rPr>
                <w:color w:val="000000"/>
              </w:rPr>
              <w:t>elanie Brim</w:t>
            </w:r>
          </w:p>
          <w:p w:rsidR="00A61499" w:rsidRDefault="00A61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Remy Bruder</w:t>
            </w:r>
          </w:p>
          <w:p w:rsidR="00A61499" w:rsidRDefault="00A61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Kendra Elam</w:t>
            </w:r>
          </w:p>
          <w:p w:rsidR="0063015B" w:rsidRDefault="00630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:rsidR="00655A3D" w:rsidRDefault="0065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Diversity Team</w:t>
            </w:r>
          </w:p>
          <w:p w:rsidR="00655A3D" w:rsidRDefault="0065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:rsidR="00655A3D" w:rsidRDefault="0065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:rsidR="00655A3D" w:rsidRDefault="0065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:rsidR="00655A3D" w:rsidRDefault="0065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:rsidR="00655A3D" w:rsidRDefault="0065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:rsidR="00655A3D" w:rsidRDefault="0065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:rsidR="006543E7" w:rsidRDefault="008A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Diversity Team</w:t>
            </w:r>
          </w:p>
          <w:p w:rsidR="006543E7" w:rsidRDefault="006543E7" w:rsidP="00701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  <w:p w:rsidR="00733C91" w:rsidRDefault="00733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:rsidR="006543E7" w:rsidRDefault="0065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:rsidR="006543E7" w:rsidRDefault="0065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:rsidR="006543E7" w:rsidRDefault="006543E7" w:rsidP="003E1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E1E8B" w:rsidRPr="003E1E8B" w:rsidRDefault="003E1E8B" w:rsidP="003E1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Melanie Brim</w:t>
            </w:r>
          </w:p>
          <w:p w:rsidR="006543E7" w:rsidRDefault="0065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:rsidR="006543E7" w:rsidRDefault="0065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:rsidR="006543E7" w:rsidRDefault="0065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</w:tr>
    </w:tbl>
    <w:p w:rsidR="00ED6B64" w:rsidRDefault="00ED6B64">
      <w:pPr>
        <w:rPr>
          <w:b/>
          <w:sz w:val="24"/>
          <w:szCs w:val="24"/>
        </w:rPr>
      </w:pPr>
    </w:p>
    <w:sectPr w:rsidR="00ED6B64">
      <w:headerReference w:type="default" r:id="rId8"/>
      <w:footerReference w:type="default" r:id="rId9"/>
      <w:pgSz w:w="15840" w:h="12240" w:orient="landscape"/>
      <w:pgMar w:top="432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99E" w:rsidRDefault="0071799E">
      <w:pPr>
        <w:spacing w:after="0" w:line="240" w:lineRule="auto"/>
      </w:pPr>
      <w:r>
        <w:separator/>
      </w:r>
    </w:p>
  </w:endnote>
  <w:endnote w:type="continuationSeparator" w:id="0">
    <w:p w:rsidR="0071799E" w:rsidRDefault="00717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B64" w:rsidRDefault="005903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323DD">
      <w:rPr>
        <w:noProof/>
        <w:color w:val="000000"/>
      </w:rPr>
      <w:t>1</w:t>
    </w:r>
    <w:r>
      <w:rPr>
        <w:color w:val="000000"/>
      </w:rPr>
      <w:fldChar w:fldCharType="end"/>
    </w:r>
  </w:p>
  <w:p w:rsidR="00ED6B64" w:rsidRDefault="00ED6B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99E" w:rsidRDefault="0071799E">
      <w:pPr>
        <w:spacing w:after="0" w:line="240" w:lineRule="auto"/>
      </w:pPr>
      <w:r>
        <w:separator/>
      </w:r>
    </w:p>
  </w:footnote>
  <w:footnote w:type="continuationSeparator" w:id="0">
    <w:p w:rsidR="0071799E" w:rsidRDefault="00717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B64" w:rsidRDefault="0063015B" w:rsidP="0063015B">
    <w:pPr>
      <w:rPr>
        <w:sz w:val="28"/>
        <w:szCs w:val="28"/>
      </w:rPr>
    </w:pPr>
    <w:r>
      <w:rPr>
        <w:noProof/>
      </w:rPr>
      <w:drawing>
        <wp:inline distT="0" distB="0" distL="0" distR="0" wp14:anchorId="676DB6FC" wp14:editId="7711D6A8">
          <wp:extent cx="1715503" cy="47703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5503" cy="477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8"/>
        <w:szCs w:val="28"/>
      </w:rPr>
      <w:t xml:space="preserve"> </w:t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5903FD">
      <w:rPr>
        <w:sz w:val="28"/>
        <w:szCs w:val="28"/>
      </w:rPr>
      <w:t>Nursing Workforce Diversity Workgroup</w:t>
    </w:r>
  </w:p>
  <w:p w:rsidR="00ED6B64" w:rsidRDefault="00701D04">
    <w:pPr>
      <w:jc w:val="center"/>
      <w:rPr>
        <w:sz w:val="28"/>
        <w:szCs w:val="28"/>
      </w:rPr>
    </w:pPr>
    <w:r>
      <w:rPr>
        <w:sz w:val="28"/>
        <w:szCs w:val="28"/>
      </w:rPr>
      <w:t xml:space="preserve">Diversity Action Plan, Revised </w:t>
    </w:r>
    <w:r w:rsidR="001F56DC">
      <w:rPr>
        <w:sz w:val="28"/>
        <w:szCs w:val="28"/>
      </w:rPr>
      <w:t>11/3/2021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1FBB"/>
    <w:multiLevelType w:val="multilevel"/>
    <w:tmpl w:val="E928552C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9279C5"/>
    <w:multiLevelType w:val="multilevel"/>
    <w:tmpl w:val="7BCE17B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D71A1A"/>
    <w:multiLevelType w:val="multilevel"/>
    <w:tmpl w:val="10D2B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525580"/>
    <w:multiLevelType w:val="multilevel"/>
    <w:tmpl w:val="B2C0F0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7424CE"/>
    <w:multiLevelType w:val="hybridMultilevel"/>
    <w:tmpl w:val="65A6E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C66554"/>
    <w:multiLevelType w:val="multilevel"/>
    <w:tmpl w:val="1DBC0CC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1407E9"/>
    <w:multiLevelType w:val="multilevel"/>
    <w:tmpl w:val="42923BD8"/>
    <w:lvl w:ilvl="0">
      <w:start w:val="1"/>
      <w:numFmt w:val="lowerLetter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9E422C"/>
    <w:multiLevelType w:val="multilevel"/>
    <w:tmpl w:val="AC0A76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C67340"/>
    <w:multiLevelType w:val="multilevel"/>
    <w:tmpl w:val="3FEA7A7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BE02DF"/>
    <w:multiLevelType w:val="multilevel"/>
    <w:tmpl w:val="846487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6F59F6"/>
    <w:multiLevelType w:val="multilevel"/>
    <w:tmpl w:val="B99AB6DE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9B3F66"/>
    <w:multiLevelType w:val="multilevel"/>
    <w:tmpl w:val="00DEC2E0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DD32D7"/>
    <w:multiLevelType w:val="multilevel"/>
    <w:tmpl w:val="3154E1D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582BD3"/>
    <w:multiLevelType w:val="multilevel"/>
    <w:tmpl w:val="120843F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28A0E5F"/>
    <w:multiLevelType w:val="multilevel"/>
    <w:tmpl w:val="8BAE2A0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086B37"/>
    <w:multiLevelType w:val="multilevel"/>
    <w:tmpl w:val="D032A0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1A6393F"/>
    <w:multiLevelType w:val="multilevel"/>
    <w:tmpl w:val="AC0A76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057F3F"/>
    <w:multiLevelType w:val="multilevel"/>
    <w:tmpl w:val="87707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3045C0"/>
    <w:multiLevelType w:val="multilevel"/>
    <w:tmpl w:val="224AE56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7061AB"/>
    <w:multiLevelType w:val="multilevel"/>
    <w:tmpl w:val="55448C02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DA23FD"/>
    <w:multiLevelType w:val="hybridMultilevel"/>
    <w:tmpl w:val="E6969F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3"/>
  </w:num>
  <w:num w:numId="3">
    <w:abstractNumId w:val="18"/>
  </w:num>
  <w:num w:numId="4">
    <w:abstractNumId w:val="15"/>
  </w:num>
  <w:num w:numId="5">
    <w:abstractNumId w:val="19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16"/>
  </w:num>
  <w:num w:numId="11">
    <w:abstractNumId w:val="11"/>
  </w:num>
  <w:num w:numId="12">
    <w:abstractNumId w:val="8"/>
  </w:num>
  <w:num w:numId="13">
    <w:abstractNumId w:val="12"/>
  </w:num>
  <w:num w:numId="14">
    <w:abstractNumId w:val="7"/>
  </w:num>
  <w:num w:numId="15">
    <w:abstractNumId w:val="4"/>
  </w:num>
  <w:num w:numId="16">
    <w:abstractNumId w:val="17"/>
  </w:num>
  <w:num w:numId="17">
    <w:abstractNumId w:val="10"/>
  </w:num>
  <w:num w:numId="18">
    <w:abstractNumId w:val="20"/>
  </w:num>
  <w:num w:numId="19">
    <w:abstractNumId w:val="1"/>
  </w:num>
  <w:num w:numId="20">
    <w:abstractNumId w:val="1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64"/>
    <w:rsid w:val="00182BFE"/>
    <w:rsid w:val="001F56DC"/>
    <w:rsid w:val="00242C8D"/>
    <w:rsid w:val="00285CC8"/>
    <w:rsid w:val="002A77F3"/>
    <w:rsid w:val="00312B20"/>
    <w:rsid w:val="003E1E8B"/>
    <w:rsid w:val="00403544"/>
    <w:rsid w:val="00420958"/>
    <w:rsid w:val="00421EEF"/>
    <w:rsid w:val="0044788F"/>
    <w:rsid w:val="00495400"/>
    <w:rsid w:val="005154D5"/>
    <w:rsid w:val="00522C42"/>
    <w:rsid w:val="005903FD"/>
    <w:rsid w:val="0063015B"/>
    <w:rsid w:val="006543E7"/>
    <w:rsid w:val="00655A3D"/>
    <w:rsid w:val="00701D04"/>
    <w:rsid w:val="0071400D"/>
    <w:rsid w:val="0071799E"/>
    <w:rsid w:val="00726151"/>
    <w:rsid w:val="00733C91"/>
    <w:rsid w:val="0076060D"/>
    <w:rsid w:val="00806990"/>
    <w:rsid w:val="00831007"/>
    <w:rsid w:val="008440E5"/>
    <w:rsid w:val="008A6629"/>
    <w:rsid w:val="009024CA"/>
    <w:rsid w:val="009032AA"/>
    <w:rsid w:val="009E3325"/>
    <w:rsid w:val="00A61499"/>
    <w:rsid w:val="00C323DD"/>
    <w:rsid w:val="00D71EAA"/>
    <w:rsid w:val="00DD02A7"/>
    <w:rsid w:val="00ED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4332751-36E4-4C4E-B1A0-7CD87B8C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441D8"/>
    <w:pPr>
      <w:ind w:left="720"/>
      <w:contextualSpacing/>
    </w:pPr>
  </w:style>
  <w:style w:type="table" w:styleId="TableGrid">
    <w:name w:val="Table Grid"/>
    <w:basedOn w:val="TableNormal"/>
    <w:uiPriority w:val="39"/>
    <w:rsid w:val="00E44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06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6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FFA"/>
  </w:style>
  <w:style w:type="paragraph" w:styleId="Footer">
    <w:name w:val="footer"/>
    <w:basedOn w:val="Normal"/>
    <w:link w:val="FooterChar"/>
    <w:uiPriority w:val="99"/>
    <w:unhideWhenUsed/>
    <w:rsid w:val="00E46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FFA"/>
  </w:style>
  <w:style w:type="paragraph" w:styleId="Subtitle">
    <w:name w:val="Subtitle"/>
    <w:basedOn w:val="Normal"/>
    <w:next w:val="Normal"/>
    <w:link w:val="SubtitleChar"/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00E46FFA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2F1"/>
    <w:rPr>
      <w:rFonts w:ascii="Segoe UI" w:hAnsi="Segoe UI" w:cs="Segoe UI"/>
      <w:sz w:val="18"/>
      <w:szCs w:val="1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gT490pPoMJbdeiNIRWPiqtlUKw==">AMUW2mVcNMvevuvGPV8R+dIIC8gSTayo/ZoQO7ntnNpsHsNMnbwyFr/1215OWeNUm5b1RkKCx1Xd+QO9YBWVNgub44zl1G2DJ3gXFicf9tlKh6oM7ks1z7mHE20aQ/zE1o7O6D8zlDEz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Brim</dc:creator>
  <cp:lastModifiedBy>Brenda Mazuca</cp:lastModifiedBy>
  <cp:revision>2</cp:revision>
  <cp:lastPrinted>2021-11-03T15:32:00Z</cp:lastPrinted>
  <dcterms:created xsi:type="dcterms:W3CDTF">2021-11-03T16:34:00Z</dcterms:created>
  <dcterms:modified xsi:type="dcterms:W3CDTF">2021-11-03T16:34:00Z</dcterms:modified>
</cp:coreProperties>
</file>